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1562-О/2024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«Компания Ресурс-Медиа» на нарушение его конституционных прав частью 2 статьи 69 Арбитражного процессуального кодекса Российской Федерации и абзацем тринадцатым пункта 2 статьи 129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«Компания Ресурс-Медиа»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«Компания Ресурс- Медиа» (далее также – ООО «Компания Ресурс-Медиа») оспаривает конституционность части 2 статьи 69 «Основания освобождения от доказывания» АПК Российской Федерации и абзаца тринадцатого пункта 2 статьи 129 «Полномочия конкурсного управляющего» Федерального закона от 26 октября 2002 года № 127-ФЗ «О несостоятельности (банкротстве)». Как следует из представленных материалов, в деле о банкротстве хозяйственного общества вступившим в законную силу определением арбитражного суда ООО «Компания Ресурс-Медиа» отказано во включении в 2 реестр требований кредиторов должника требования, основанного на вступившем в законную силу решении арбитражного суда, в связи с установлением текущего характера соответствующей задолженности. Позднее определением того же арбитражного суда, оставленным судами вышестоящих инстанций без изменения, заявителю отказано в удовлетворении жалобы на действия (бездействие) конкурсного управляющего должника, выразившиеся в неучете требований заявителя в качестве текущих в бухгалтерских документах должника и в картотеке текущих платежей, неосуществлении действий по погашению этих требований, а также в истребовании от заявителя документов, подтверждающих основания возникновения данной задолженности. Суды пришли к выводам, что вынесенное вне дела о банкротстве решение арбитражного суда подтверждает обоснованность лишь части задолженности, впоследствии заявленной ООО «Компания Ресурс-Медиа» в деле о банкротстве, погашение задолженности в соответствующей части осуществлено в рамках исполнительного производства посредством передачи заявителю имущества должника, проверка же обоснованности текущих требований в части, не подтвержденной решением суда, является обязанностью конкурсного управляющего. Определением судьи Верховного Суда Российской Федерации ООО «Компания Ресурс-Медиа» отказано в передаче кассационной жалобы для рассмотрения в судебном заседании Судебной коллегии по экономическим спорам этого суда. По мнению заявителя, оспариваемые нормы противоречат статьям 19 (часть 1), 35 (части 1–3), 45 (часть 1), 46 (часть 1) и 55 (часть 2) Конституции Российской Федерации в той мере, в какой по смыслу, придаваемому им судебной практикой, позволяют арбитражным судам признавать преюдициальное значение не всех установленных решением суда обстоятельств, а делать это произвольно и выборочно, что влечет возникновение конфликта судебных актов; предоставляют конкурсному управляющему возможность – в нарушение положений законодательства об обязательности вступившего в законную силу судебного акта – проверять 3 обоснованность и размер подтвержденных таким судебным актом текущих требований кредитора к должнику и не исполнять возложенные на арбитражного управляющего обязанности, связанные с учетом текущих обязательств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2 статьи 69 АПК Российской Федерации о преюдициальном значении обстоятельств, установленных вступившим в законную силу судебным актом арбитражного суда по ранее рассмотренному делу, при рассмотрении арбитражным судом другого дела с участием тех же лиц, конкретизирует общие положения арбитражного процессуального законодательства об обязательности вступивших в законную силу судебных актов и служит гарантией обеспечения в условиях действия принципа состязательности законности выносимых судом актов. Абзац тринадцатый пункта 2 статьи 129 Федерального закона «О несостоятельности (банкротстве)», закрепляя отсылочную норму о том, что конкурсный управляющий должен исполнять иные установленные данным Федеральным законом обязанности, обеспечивает тем самым необходимую системность в регулировании обязанностей арбитражного управляющего, которые надлежит осуществлять добросовестно и разумно в интересах должника, кредиторов и общества (пункт 4 статьи 203 названного Федерального закона). Указанные нормы, не предполагающие произвольного применения, не могут расцениваться в качестве нарушающих в обозначенных в жалобе аспектах конституционные права ООО «Компания Ресурс-Медиа». Как следует из содержания жалобы, нарушение своих прав общество связывает не с нормативным содержанием оспариваемых законоположений, в противоречии с которым, как полагает заявитель, был разрешен обособленный спор с его участием, а с выводами судов о недоказанности заявленных требований в том числе ввиду того, что положенные в их 4 основание обстоятельства, по мнению судов, не были установлены вступившим в законную силу судебным решением. Между тем проверка обоснованности выводов судов по вопросам оценки доказательств, установления фактических обстоятельств дела и признания за отдельными обстоятельствами преюдициального значения не относится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«Компания Ресурс-Медиа»,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