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914216-П/2026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частью первой статьи 236 Трудового кодекса Российской Федерации и частью четвертой статьи 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части первой статьи 236 Трудового кодекса Российской Федерации, предусматривающей, что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2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Заявитель также просит признать не соответствующей Конституции Российской Федерации часть четвертую статьи 14 «Состав суда» ГПК Российской Федерации. Как следует из представленных материалов, апелляционным определением было изменено решение суда общей юрисдикции и с работодателя в пользу заявителя были взысканы компенсация за задержку выплат, установленных судебным решением, и компенсация морального вреда в размере 20 000 руб. Определением кассационного суда данное судебное постановление было отменено, дело направлено на новое рассмотрение в суд апелляционной инстанции. Апелляционным определением, с которым согласились вышестоящие суды, решение суда первой инстанции было изменено, и с работодателя в пользу заявителя были взысканы компенсация за задержку выплаты среднего заработка за период вынужденного прогула и компенсация морального вреда в размере 10 000 руб. При этом суд со ссылкой на Постановление Конституционного Суда Российской Федерации от 4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