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913708-П/2026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Романова Вячеслава Геннадьевича на нарушение его конституционных прав частью первой статьи 125 Уголовно-процессуального кодекса Российской Федерации, а также пунктами 7 и 9 постановления Пленума Верховного Суда Российской Федерации «О практике рассмотрения судами жалоб в порядке статьи 125 Уголовно- процессуального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В.Г.Романова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суда, вынесенными в порядке статьи 125 УПК Российской Федерации, с которыми согласились вышестоящие суды, отказано в принятии к рассмотрению жалоб отбывающего наказание в виде лишения свободы гражданина В.Г.Романова по вопросу оспаривания действий (бездействия) должностных лиц следственных органов, выразившихся, в частности, в отказе в регистрации поданных им заявлений как сообщений о преступлениях и в проведении по ним доследственной проверки, а также прекращения с заявителем переписки. 2 При этом суды исходили, в частности, из того, что заявления В.Г.Романова не содержат обстоятельств, подлежащих самостоятельному расследованию – заявителем фактически обжаловалась законность производства отдельных следственных действий и доказательств в рамках предварительного расследования по уголовному делу в его отношении, которые уже выступали предметом проверки суда при постановлении обвинительного приговора, впоследствии вступившего в законную силу. В связи с этим заявитель просит признать не соответствующими Конституции Российской Федерации часть первую статьи 125 «Судебный порядок рассмотрения жалоб» УПК Российской Федерации, а также пункты 7 и 9 постановления Пленума Верховного Суда Российской Федерации от 10 февраля 2009 года № 1 «О практике рассмотрения судами жалоб в порядке статьи 125 Уголовно-процессуального кодекса Российской Федерации». В.Г.Романов указывает, что данные положения нарушают его конституционные права, поскольку они препятствуют оспариванию отказа в надлежащем рассмотрении сообщения о преступлении и возбуждении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предусматривает судебный порядок рассмотрения жалоб, в том числе на постановление следователя об отказе в возбуждении уголовного дела, и направлена тем самым не на ограничение, а, напротив, на обеспечение прав участников уголовного судопроизводства. Принимаемое в рамках данной процедуры судебное решение должно быть законным, обоснованным и мотивированным, как того требует часть четвертая статьи 7 того же Кодекса (определения Конституционного Суда Российской Федерации от 21 марта 2013 года № 358- О, от 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Романова Вячеслава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