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911043-П/2026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П. на нарушение его конституционных прав пунктом 2 статьи 51, пунктом 1 статьи 52 и статьей 127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П.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 оспаривает конституционность пункта 2 статьи 51 «Запись родителей ребенка в книге записей рождений», пункта 1 статьи 52 «Оспаривание отцовства (материнства)» и статьи 127 «Лица, имеющие право быть усыновителями»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П., направленного на оспаривание отцовства его сына (наследодателя) в отношении несовершеннолетнего ребенка и исключение ребенка из числа наследников. Суд первой инстанции отметил, что наследодатель проживал одной семьей с супругой и ребенком, который родился до заключения брака и отцовство в отношении которого установлено на основании совместного заявления, 2 поданного матерью и наследодателем в орган записи актов гражданского состояния. Суд подчеркнул, что запись об отцовстве не составлена на основании подложных документов или в отсутствие свободного волеизъявления наследодателя. Доводы П., ссылавшегося на то, что отцовство наследодателя установлено в обход законодательства об усыновлении (удочерении), суд назвал заслуживающими внимания, но не дающими оснований для удовлетворения иска.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7 (часть 2), 19 (части 1 и 2), 35 (часть 4), 38 (часть 1) и 46 (части 1 и 2)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включающей Перечень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 (утвержден Постановлением Правительства Российской Федерации от 14 февраля 2013 года № 117), они позволяют во внесудебном порядке установить отцовство лица, имеющего соответствующее заболевание, в отношении ребенка, биологическим отцом которого это лицо не является, и не проверять действительность его воли и осознанность его решения. Кроме того, П. указывает, что оспариваемые нормы препятствуют наследникам такого гражданина оспорить запись об отце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51 Семейного кодекса Российской Федерации во взаимосвязи с иными положениями названного Кодекса обеспечивает защиту прав детей, родители которых не состоят в браке между собой, и согласуется 3 с принципом государственной поддержки и защиты семьи, материнства, отцовства и детства, закрепленным в статьях 7 (часть 2) и 38 (часть 1) Конституции Российской Федерации (определения Конституционного Суда Российской Федерации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