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912824-П/2026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Мозы Максима Ивановича на нарушение его конституционных прав статьями 125 и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М.И.Мозы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М.И.Моза оспаривает конституционность статей 125 «Судебный порядок рассмотрения жалоб» и 144 «Порядок рассмотрения сообщения о преступлении» УПК Российской Федерации. Как следует из представленных материалов, постановлением судьи, оставленным без изменения судами апелляционной и кассационной инстанций, отказано в удовлетворении жалобы заявителя на постановление следователя об отказе в возбуждении уголовного дела по его заявлению. М.И.Моза утверждает, что оспариваемые нормы позволяют следователю отказывать в возбуждении уголовного дела при наличии признаков преступления, не обязывают суды оценить полноту и всесторонность 2 доследственной проверки и не обеспечивают эффективный судебный контроль за разрешением сообщений о преступлениях, чем нарушают права, гарантированные статьями 2, 18, 45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прямо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своей компетенции в срок не позднее 3 суток со дня поступления данного сообщения принять по нему решение о возбуждении уголовного дела, либо об отказе в возбуждении уголовного дела, либо о передаче сообщения о подследственности, а по уголовным делам частного обвинения – в суд (часть первая статьи 144 и часть первая статьи 145).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Мозы Максима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