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911239-О/2026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 на нарушение ее конституционных прав пунктом 1 статьи 52 Семейного кодекса Российской Федерации, а также пунктом 1 части первой статьи 134 и абзацем вторым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П. оспаривает конституционность пункта 1 статьи 52 «Оспаривание отцовства (материнства)» Семейного кодекса Российской Федерации, а также пункта 1 части первой статьи 134 «Отказ в принятии искового заявления» и абзаца второго статьи 220 «Основания прекращения производства по делу» ГПК Российской Федерации. Из представленных материалов следует, что определением суда общей юрисдикции, оставленным без изменения определением суда апелляционной инстанции (с учетом определения об исправлении описки), прекращено производство по иску П. об исключении сведений о наследодателе (ее умершем сыне) как об отце из записи акта о рождении несовершеннолетних детей, родившихся в период его брака с их матерью. 2 Суд первой инстанции указал, что иск фактически направлен на оспаривание отцовства и что наследник не относится к лицам, имеющим право оспаривать отцовство лица, записанного отцом детей в качестве супруга их матери. В передаче кассационной жалобы на названные определения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2, 17, 18, 35 (часть 4) и 46 (части 1 и 2) Конституции Российской Федерации, поскольку по смыслу, придаваемому им правоприменительной практикой, они позволяют отказывать в принятии искового заявления наследника лица, записанного в книгу записей рождений в качестве отца ребенка, сведения о биологическом отце которого скрыты, об оспаривании такой записи, а если исковое заявление принято – прекращать производство по делу. Кроме того, П. просит пересмотреть принятые по делу с ее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