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912111-О/2026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Слесарева Игоря Геннадьевича на нарушение его конституционных прав пунктом 15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И.Г.Слесарева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И.Г.Слесарев оспаривает конституционность пункта 15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лет, если они проработали в инженерно-техническом составе на работах по непосредственному обслуживанию воздушных судов гражданской авиации соответственно не 2 менее 20 лет и 15 лет и имеют страховой стаж в гражданской авиации соответственно не менее 25 лет и 20 лет. Как следует из представленных материалов, суды общей юрисдикции, руководствуясь в том числе оспариваемой заявителем нормой, отказали в удовлетворении его требований о включении отдельных периодов его работы и военной службы в стаж, дающий право на досрочное назначение страховой пенсии по старости, и обязании пенсионного органа назначить ему указанную пенсию ранее достижения общеустановленного пенсионного возраста. По мнению И.Г.Слесарева, оспариваемая норма не соответствует Конституции Российской Федерации, в частности ее статьям 19 и 39, поскольку не позволяет зачесть период прохождения им военной службы по контракту в качестве старшего авиационного механика и старшего бортового механика в стаж, дающий право на досрочное назначение страховой пенсии по старости по данному основанию.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Слесарева Игоря Геннадьевича,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