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912221-О/2026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Мухаметзянова Рустама Ришатовича на нарушение его конституционных прав абзацем вторым пункта 17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Р.Р.Мухаметзянова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с которым согласились суды апелляционной и кассационной инстанций, прекращено производство по делу о банкротстве гражданина П., прекращены полномочия финансового управляющего – гражданина Р.Р.Мухаметзянова, последнему наряду с вознаграждением (25 000 руб.), подлежащим перечислению с депозитного счета суда, установлены проценты по вознаграждению в размере 314 894,04 руб. При этом суды со ссылкой на положения статьи 206 Федерального закона от 26 октября 2002 года № 127-ФЗ «О несостоятельности (банкротстве)» учли размер денежной суммы, поступившей в конкурсную массу вследствие деятельности финансового управляющего. 2 Р.Р.Мухаметзянов оспаривает конституционность абзаца второго пункта 17 статьи 206 «Вознаграждение арбитражного управляющего в деле о банкротстве» Федерального закона «О несостоятельности (банкротстве)». По мнению заявителя, данная норма противоречит статье 37 Конституции Российской Федерации, поскольку ставит вознаграждение финансового управляющего в зависимость только от реализации имущества гражданина и не предусматривает вознаграждения при погашении требований кредиторов без его реализации.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Мухаметзянова Рустама Ришатовича,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