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912257-О/2026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Ошевой Екатерины Владимировны на нарушение ее конституционных прав статьей 410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гражданки Е.В.Ошевой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Е.В.Ошева оспаривает конституционность статьи 410 ГК Российской Федерации, предусматривающей, что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 Из представленных материалов следует, что решением суда общей юрисдикции, оставленным в этой части без изменения определением суда апелляционной инстанции, с Е.В.Ошевой по иску застройщика взыскана задолженность по договору участия в долевом строительстве. Отклоняя 2 доводы Е.В.Ошевой о прекращении обязательства зачетом ее требования к застройщику об уплате неустойки за нарушение срока передачи объекта долевого строительства, суды указали, что для зачета необходим бесспорный характер требований и что размер неустойки может быть уменьшен судом (статья 333 ГК Российской Федерации). Кроме того, суды отметили, что застройщик не признавал требования Е.В.Ошевой, что какое-либо соглашение по этому вопросу сторонами не достигнуто и что материалы дела не содержат решения суда о взыскании неустойки. Определением кассационного суда общей юрисдикции решение суда первой инстанции с учетом апелляционного определения оставлено без изменения. В соответствующей части постановления судов нижестоящих инстанций оставлены без изменения определением Судебной коллегии по гражданским делам Верховного Суда Российской Федерации, в передаче надзорной жалобы Е.В.Ошевой на которое для рассмотрения в судебном заседании Президиума Верховного Суда Российской Федерации отказано. По мнению заявительницы, статья 410 ГК Российской Федерации противоречит статьям 19, 35, 46, 55 и 751 Конституции Российской Федерации, поскольку по смыслу, придаваемому ей правоприменительной практикой, она позволяет судам не признавать состоявшимся зачет встречных однородных требований, если в пользу стороны, заявившей о зачете требования об уплате ей неустойки, неустойка не взыскана вступившим в законную силу решением суда, и лишает граждан эффективного способа защиты прав в споре с застройщиком как экономически сильным субъектом.</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410 ГК Российской Федерации для прекращения обязательств зачетом, по общему правилу, необходимо, чтобы требования сторон были встречными, их предметы были однородными и по требованию лица, которое осуществляет зачет своим односторонним волеизъявлением, 3 наступил срок исполнения; критерий однородности соблюдается при зачете требования по уплате основного долга на требование об уплате неустойки, процентов или о возмещении убытков (пункты 10 и 12 постановления Пленума Верховного Суда Российской Федерации от 11 июня 2020 года № 6 «О некоторых вопросах применения положений Гражданского кодекса Российской Федерации о прекращении обязательств»). Конституционный Суд Российской Федерации подчеркивал, что статья 410 ГК Российской Федерации по смыслу, придаваемому ей правоприменительной практикой в системе действующего правового регулирования, не предусматривает бесспорность зачитываемых требований и отсутствие возражений сторон относительно как наличия, так и размера требований в качестве условий зачета (Определение от 30 ноября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Ошевой Екатерины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