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912225-П/2026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Бурлина Сергея Александровича на нарушение его конституционных прав пунктами 1 и 9 статьи 152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С.А.Бурлина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юрисдикции, с которым согласились суды вышестоящих инстанций, оставлены без удовлетворения исковые требования гражданина С.А.Бурлина к органу прокуратуры о защите чести, достоинства и деловой репутации. При этом суд исходил, в частности, из того, что в публикацию, размещенную на сайте органа прокуратуры и содержащую сведения, которые истец просит признать не соответствующими действительности, порочащими его честь, достоинство и деловую репутацию, внесены изменения, опровергающие ранее размещенные сведения, и, таким образом, опровержение спорной информации было осуществлено ответчиком в добровольном порядке. 2 С.А.Бурлин оспаривает конституционность пунктов 1 и 9 статьи 152 «Защита чести, достоинства и деловой репутации» ГК Российской Федерации. По мнению заявителя, данные законоположения противоречат статьям 45 (часть 2), 46 (часть 1) и 55 Конституции Российской Федерации в той мере, в какой их неопределенность позволяет судам рассматривать в качестве надлежащего опровержения спорной информации исправление публикации, размещенной в архиве новостей сайта, а не на главной странице, а также расценивать факт исправления (опровержения) публикации как основание для отказа во взыскании компенсации морального вреда.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статьи 152 ГК Российской Федерации, устанавливающие гражданско-правовые способы защиты чести, достоинства и деловой репутации и определяющие – путем закрепления прав гражданина требовать по суду опровержения порочащих его сведений, если распространивший их не докажет, что они соответствуют действительности (пункт 1), а также возмещения убытков и компенсации морального вреда, причиненных распространением таких сведений (пункт 9), – порядок реализации конституционного права на защиту чести и доброго имени (статья 23, часть 1, Конституции Российской Федерации), направлены на осуществление конституционной обязанности государства охранять достоинство личности (статья 21, часть 1, Конституции Российской Федерации) как необходимую предпосылку и основу всех других неотчуждаемых прав и свобод человека, условие их признания и соблюдения (Постановление Конституционного Суда Российской Федерации от 9 июля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Бурлина Сергея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