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911251-П/2026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М. на нарушение ее конституционных прав статьей 125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М.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судьи, вынесенным в порядке статьи 125 «Судебный порядок рассмотрения жалоб» УПК Российской Федерации, проверенным и оставленным без изменения судами апелляционной и кассационной инстанций, гражданке М. отказано в удовлетворении жалобы на постановление следователя об отказе в возбуждении уголовного дела по ее заявлению. Заявительница утверждает, что данная статья противоречит статьям 46 и 52 Конституции Российской Федерации, поскольку нарушает право гражданина на судебную защиту при обжаловании постановления об отказе в возбуждении уголовного дела, позволяя судам формально рассматривать поданные жалобы и не обязывая их проводить полноценное судебное 2 разбирательство и реально устранять нарушения прав гражданина, допущенные в ходе доследственной проверки.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 в статье 125 закрепляет судебный порядок рассмотрения жалоб на постановления органа дознания, дознавателя, следователя, руководителя следственного органа об отказе в возбуждении уголовного дела, о прекращении уголовного дела, а равно на иные действия (бездействие) и решения дознавателя, начальника подразделения дознания, начальника органа дознания, органа дознания, следователя, руководителя следственного органа и прокурора,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 (часть первая). Как неоднократно отмечал Конституционный Суд Российской Федерации, суд, рассматривая жалобу по правилам данной статьи, не должен во избежание искажения сути правосудия ограничиваться лишь исполнением формальных требований уголовно-процессуального закона и отказываться от оценки наличия или отсутствия законного повода и основания для возбуждения уголовного дела, фактической обоснованности обжалуемых действий (бездействия) и решений. Такая оценка закономерно включает в себя и полномочия суда исследовать материалы, обусловившие отказ в возбуждении уголовного дела. Суд обязан проверить, учел ли орган предварительного расследования все обстоятельства, включая указанные в жалобе, которые могли существенно повлиять на его выводы, а также исследовал ли он эти обстоятельства вообще. Иное делало бы невозможной оценку судом законности и обоснованности постановления об отказе в возбуждении уголовного дела, ставило бы решение суда по этому вопросу в зависимость от позиции стороны обвинения, свидетельствовало бы о неопровержимой презумпции законности, обоснованности и мотивированности принятого ею процессуального решения, 3 об окончательности и неоспоримости ее выводов относительно обстоятельств, послуживших причиной обращения с заявлением о преступлении, относительно квалификации деяния и выбора основания для отказа в возбуждении уголовного дела, противоречило бы целям уголовного судопроизводства, роли суда как органа правосудия (определения от 12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