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914430-О/2026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частью 1 статьи 20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 оспаривает конституционность части 1 статьи 20 Федерального закона от 21 ноября 2011 года № 323-ФЗ «Об основах охраны здоровья граждан в Российской Федерации», согласно которой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 2 Как следует из представленных материалов, решением районного суда, оставленным в этой части без изменения вышестоящими судами, частично удовлетворены требования заявительницы к медицинской организации о компенсации морального вреда. При этом судами был отклонен довод заявительницы о ненадлежащем информировании о медицинском вмешательстве путем предоставления обобщенной информации без указания конкретных видов медицинских вмешательств. Определением судьи Верховного Суда Российской Федерации в передаче жалобы для рассмотрения в судебном заседании суда кассационной инстанции заявительнице было отказано. По мнению заявительницы, оспариваемое положение не соответствует Конституции Российской Федерации, ее статьям 18, 19 (часть 1), 21 (часть 1), 22 (часть 1) и 41 (часть 1), поскольку не устанавливает требований к содержанию информированного добровольного согласия на медицинское вмешательство, что лишает пациента возможности полноценно оценить риски и последствия такого вмешательства.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