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«Фирма «ЛПС-Интер» на нарушение его конституционных прав подпунктом 4 пункта 1.4 Порядка определения вида фактического использования зданий (строений, сооружений) и нежилых помещений для целей налогообложения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«Фирма «ЛПС-Интер»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«Фирма «ЛПС-Интер» (далее также – Общество) оспаривает конституционность подпункта 4 пункта 1.4 Порядка определения вида фактического использования зданий (строений, сооружений) и нежилых помещений для целей налогообложения (далее также – Порядок; приложение 1 к постановлению Правительства Москвы от 14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«Фирма «ЛПС-Интер»,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