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912219-О/2026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Лазутиной Ларисы Ивановны на нарушение ее конституционных прав статьей 20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Л.И.Лазутиной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Л.И.Лазутина оспаривает конституционность статьи 20 ГК Российской Федерации, предусматривающей, что местом жительства признается место, где гражданин постоянно или преимущественно проживает; гражданин, сообщивший кредиторам, а также другим лицам сведения об ином месте своего жительства, несет риск вызванных этим последствий (пункт 1); местом жительства несовершеннолетних, не достигших четырнадцати лет, или граждан, находящихся под опекой, признается место жительства их законных представителей – родителей, усыновителей или опекунов (пункт 2). 2 Из представленных материалов следует, что решением суда общей юрисдикции отказано в признании несовершеннолетней внучки Л.И.Лазутиной утратившей право пользования жилым помещением, поскольку она приобрела право пользования этим жилым помещением по договору социального найма в качестве члена семьи своего отца. Определением суда апелляционной инстанции решение суда общей юрисдикции отменено, принято новое решение об отказе в удовлетворении иска Л.И.Лазутиной о признании ее несовершеннолетней внучки не приобретшей права пользования жилым помещением. Суд апелляционной инстанции указал, что у ответчицы, по соглашению родителей зарегистрированной по месту жительства в спорном жилом помещении, на законных основаниях возникло право пользования этим жилым помещением, в котором она не проживает по не зависящим от нее обстоятельствам. Суд подчеркнул, что отец ответчицы был выселен из спорного жилого помещения после того, как она родилась и была зарегистрирована по месту жительства. В передаче кассационной жалобы Л.И.Лазутиной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статья 20 ГК Российской Федерации противоречит статьям 19 (часть 1), 45 (часть 1) и 46 (часть 1) Конституции Российской Федерации, поскольку она позволяет признать местом жительства гражданина место, где он зарегистрирован, независимо от того, вселялся ли он в жилое помещение и проживал ли в нем.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20 ГК Российской Федерации конкретизирует понятие «место жительства» для целей регулирования гражданских правоотношений с участием гражданина. Пункт 2 этой статьи обеспечивает защиту прав и 3 интересов детей и развивает положения статьи 38 (части 1 и 2) Конституции Российской Федерации (определения Конституционного Суда Российской Федерации от 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Лазутиной Ларисы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