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912264-О/2026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Булат Анны Юрьевны на нарушение ее конституционных прав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А.Ю.Булат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А.Ю.Булат оспаривает конституционность статьи 234 «Приобретательная давность» ГК Российской Федерации. Как следует из представленных материалов, А.Ю.Булат, которой принадлежит 4/5 в праве собственности на квартиру, обратилась в суд с требованием о признании за ней доли, принадлежащей субъекту Российской Федерации, в порядке приобретательной давности. Решением суда общей юрисдикции, с которым согласились суды вышестоящих инстанций, в удовлетворении иска отказано. По мнению заявительницы, оспариваемое положение противоречит Конституции Российской Федерации, в том числе ее статьям 3, 19 и 40, поскольку оно исключает возможность признания давностного владения 2 добросовестным, если сособственник не совершил активных действий для подтверждения отказа от своего права на спорный объект недвижимости.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234 ГК Российской Федерации, закрепляя одно из оснований приобретения права собственности, направлены на защиту интересов лиц, не являющихся собственниками имущества, но добросовестно, открыто и непрерывно владеющих как своим собственным недвижимым имуществом в течение пятнадцати лет либо иным имуществом в течение пяти лет, а также на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Булат Анны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