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913720-О/2026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Башлыкова Евгения Валерьевича на нарушение его конституционных прав частью первой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Е.В.Башлыкова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Е.В.Башлыков оспаривает конституционность части первой статьи 56 «Обязанность доказывания»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с заявителя в пользу жилищно-строительного кооператива взыскана задолженность по взносам на капитальный ремонт. При рассмотрении дела суд, в частности, пришел к выводу, что решение арбитражного суда, на которое ссылался Е.В.Башлыков, не носит преюдициального характера для данного дела; кроме того, суду представлены доказательства, которые не были исследованы арбитражным судом.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Е.В.Башлыкова, оспариваемое законоположение противоречит статьям 17 (часть 3), 19 (части 1 и 2), 35 (части 1 и 3), 46 и 55 (часть 3) Конституции Российской Федерации, поскольку в истолковании, придаваемом ему правоприменительной практикой, позволяет суду отвергать преюдициальное значение вступившего в законную силу судебного акта арбитражного суда, допуская тем самым новое доказывание обстоятельств, ранее установленных этим судом.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Башлыкова Евгения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