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913789-О/2026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Ш. на нарушение его конституционных прав пунктом 1 статьи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Ш.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Ш. оспаривает конституционность пункта 1 статьи 152 «Защита чести, достоинства и деловой репутации» ГК Российской Федерации. Из представленных материалов следует, что определением суда апелляционной инстанции, с которым согласился суд кассационной инстанции, требования гражданина С. о признании сведений, размещенных заявителем в сети Интернет, не соответствующими действительности, порочащими честь и достоинство С., удовлетворены частично.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Ш. для ее рассмотрения в судебном заседании суда кассационной инстанции. 2 По мнению заявителя, оспариваемая норма противоречит Конституции Российской Федерации, ее статьям 6 (часть 2), 18, 19 (части 1 и 2), 45 (часть 1), 46 (часть 1), 55 (часть 1), 56 (часть 3), 118 (часть 1), 120 (часть 1) и 123 (часть 1), в той мере, в какой по смыслу, придаваемому ей правоприменительной практикой, она допускает при рассмотрении спора об опровержении сведений, порочащих честь и достоинство истца, произвольно относить публично распространенные ответчиком сведения к утверждениям (как лингвистической категории), а также позволяет считать такие сведения не соответствующими действительности, игнорируя имеющиеся в деле доказательства, подтверждающие обратное.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152 ГК Российской Федерации о праве гражданина требовать по суду опровержения порочащих его честь, достоинство и деловую репутацию сведений, если распространивший такие сведения не докажет, что они соответствуют действительности, определяя порядок реализации конституционного права на защиту чести и доброго имени (статья 23, часть 1, Конституции Российской Федерации), направлен на осуществление конституционной обязанности государства охранять достоинство личности (статья 21, часть 1, Конституции Российской Федерации) как необходимую предпосылку и основу всех других неотчуждаемых прав и свобод человека, условие их признания и соблюдения. Данная норма не допускает произвольного применения и не может расцениваться в качестве нарушающей в обозначенном в жалобе аспекте конституционные права Ш., в деле с участием которого суды на основе исследованных доказательств пришли к выводу о том, что выраженные в форме утверждения суждения заявителя в отношении С. не соответствуют действительности, порочат честь и достоинство последнего. Установление же и оценка фактических обстоятельств, имеющих значение для разрешения конкретного дела, не относятся к компетенции 3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