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914210-О/2026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Пустошилова Евгения Федоровича на нарушение его конституционных прав пунктом 1 статьи 181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Е.Ф.Пустошилова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Е.Ф.Пустошилов оспаривает конституционность пункта 1 статьи 181 «Сроки исковой давности по недействительным сделкам» ГК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инстанции, отказано в удовлетворении иска гражданина Х. к гражданке М. и к заявителю о признании договора дарения квартиры недействительным и об истребовании имущества из владения Е.Ф.Пустошилова в связи с пропуском срока исковой давности. Определением суда кассационной инстанции акты 2 судов нижестоящих инстанций отменены с направлением дела на новое рассмотрение. По мнению заявителя, оспариваемая норма не соответствует статьям 1 (часть 1), 6 (часть 2), 17 (часть 3), 19 (части 1 и 2), 46 и 55 (часть 3) Конституции Российской Федерации в той мере, в какой она позволяет игнорировать десятилетний срок исковой давности, исчисляемый со дня начала исполнения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из представленных материалов следует, что определением суда кассационной инстанции, с которым согласился судья Верховного Суда Российской Федерации, дело заявителя направлено на новое рассмотрение в суд первой инстанции. Сказанное не позволяет сделать вывод об исчерпании заявителем всех внутригосударственных средств судебной защиты.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Пустошилова Евгения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