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914438-О/2026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Ш.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Ш.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Ш. оспаривает конституционность статей 12 «Осуществление правосудия на основе состязательности и равноправия сторон», 56 «Обязанность доказывания», 57 «Представление и истребование доказательств», 67 «Оценка доказательств», части первой статьи 195 «Законность и обоснованность решения суда», части третьей статьи 390 «Полномочия кассационного суда общей юрисдикции», статей 3907 «Рассмотрение кассационных жалобы, представления»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апелляционным определением, оставленным без изменения судом кассационной инстанции, 2 решение по делу с участием заявителя отменено, принято новое, согласно которому частично удовлетворены исковые требования к Ш. о защите чести и достоинства, компенсации морального вреда.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Ш., оспариваемые законоположения не соответствуют Конституции Российской Федерации, в том числе ее статьям 18, 19 (части 1 и 2), 45 (часть 1), 46 (часть 1), 50 (часть 2) и 56 (часть 3) во взаимосвязи со статьями 6 (часть 2), 29 (части 1 и 3), 55 (части 1 и 3), 56 (часть 3), 118 (часть 1), 120 (часть 1) и 123 (часть 1), в той мере, в какой по смыслу, придаваемому правоприменительной практикой, они нарушают гарантии справедливого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Оспариваемые положения Гражданского процессуального кодекса Российской Федерации выступают процессуальной гарантией надлежащей реализации права каждого на судебную защиту (статья 46, часть 1, Конституции Российской Федерации) и призваны обеспечить принятие судом законного и обоснованного решения, а потому не могут расцениваться как нарушающие конституционные права заявителя. Приведенные Ш. в обоснование своей позиции доводы свидетельствуют о том, что он, оспаривая конституционность названных законоположений, по существу, выражает несогласие с выводами судов относительно фактических обстоятельств его дела и связывает нарушение своих конституционных прав с неправильным, по его мнению, применением оспариваемых норм с учетом указанных обстоятельств. Между тем проверка фактических обстоятельств конкретного дела, а также правильности применения правовых норм с учетом указанных 3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Ш.,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