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914209-О/2026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Алексеева Алексея Владимировича на нарушение его конституционных прав пунктом 1 статьи 1155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А.В.Алексеева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А.В.Алексеев оспаривает конституционность пункта 1 статьи 1155 «Принятие наследства по истечении установленного срока» ГК Российской Федерации. Как следует из представленных материалов, определением суда апелляционной инстанции, с которым согласились вышестоящие суды, отказано в удовлетворении требования А.В.Алексеева о восстановлении срока для принятия наследства. Суды исходили из отсутствия доказательств наличия уважительных причин, исключавших возможность принятия наследства в установленный срок. 2 По мнению заявителя, пункт 1 статьи 1155 ГК Российской Федерации противоречит статьям 19 (части 1 и 2), 35 (части 2 и 4), 46 (часть 1) и 55 (часть 3) Конституции Российской Федерации в той мере, в какой он по смыслу, придаваемому ему сложившейся правоприменительной практикой, позволяет судам отказывать в восстановлении срока для принятия наследства наследнику по завещанию, объективно не знавшему об открытии наследства, основываясь на субъективной оценке отсутствия личных связей наследника с наследодателем и вменяя такому наследнику обязанность по розыску информации о смерти лица в отсутствие родственных отношений без учета принципа тайны завещания.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Алексеева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