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912246-П/2026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Машковой Елены Алексеевны на нарушение ее конституционных прав пунктом 2 статьи 218, пунктами 1 и 2 статьи 223, пунктом 1 статьи 235, статьей 301, пунктом 1 статьи 302, пунктом 2 статьи 307, пунктами 1 и 2 статьи 421, статьей 432, пунктом 1 статьи 558 Гражданского кодекса Российской Федерации, а также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Е.А.Машковой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апелляционной и кассационной инстанций, отказано в удовлетворении исковых требований гражданки Е.А.Машковой об истребовании имущества у добросовестного приобретателя. Е.А.Машкова оспаривает конституционность пункта 2 статьи 218 «Основания приобретения права собственности», пунктов 1 и 2 статьи 223 «Момент возникновения права собственности у приобретателя по договору», пункта 1 статьи 235 «Основания прекращения права собственности», статьи 2 301 «Истребование имущества из чужого незаконного владения», пункта 1 статьи 302 «Истребование имущества от добросовестного приобретателя», пункта 2 статьи 307 «Понятие обязательства», пунктов 1 и 2 статьи 421 «Свобода договора», статьи 432 «Основные положения о заключении договора», пункта 1 статьи 558 «Особенности продажи жилых помещений» ГК Российской Федерации, а также части второй статьи 61 «Основания для освобождения от доказывания» ГПК Российской Федерации. По мнению заявительницы, данные законоположения противоречат статьям 1, 4 (часть 2), 15 (часть 1), 17 (части 1 и 2), 35 (части 1–3), 40 (часть 1), 45, 46 (части 1 и 2), 52, 53 и 55 (части 2 и 3) Конституции Российской Федерации, поскольку позволяют суду отказать в удовлетворении ее иска об истребовании имущества у добросовестного приобретателя.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61 ГПК Российской Федерации, предусматривающая, что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юрисдикции. Данная норма, равно как и оспариваемые положения Гражданского кодекса Российской Федерации, не может расцениваться в качестве нарушающей конституционные права Е.А.Машковой, доводы которой свидетельствуют о том, что, обращаясь с жалобой на нарушение ее конституционных прав, она, по существу, выражает несогласие со сделанными на основании установления и исследования фактических обстоятельств дела выводами судов. 3 Между тем проверка правильности выбора и применения судами норм права в конкретном деле с учетом фактических обстоятельств данного дела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Машковой Елены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