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912045-П/2026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Дементьева Сергея Николаевича на нарушение его конституционных прав частью второй статьи 165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С.Н.Дементьева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Вологодского городского суда Вологодской области удовлетворено ходатайство следователя об аресте имущества гражданина С.Н.Дементьева, подозреваемого по уголовному делу. Заявленные в судах апелляционной и кассационной инстанций доводы стороны защиты о допущенном нарушении правил территориальной подсудности, поскольку имущество, на которое наложен арест, находится в Сокольском районе Вологодской области, отклонены со ссылкой на место расположения следственного органа, в чьем производстве находится уголовное дело, и с указанием, что на это место распространяется юрисдикция рассмотревшего ходатайство суда. 2 С.Н.Дементьев утверждает, что часть вторая статьи 165 «Судебный порядок получения разрешения на производство следственного действия» УПК Российской Федерации не соответствует статье 47 (часть 1) Конституции Российской Федерации, поскольку допускает произвольное определение территориальной подсудности материалов о наложении ареста на имущество подозреваемого – не по месту совершения преступления или месту нахождения имущества, а по месту расположения следственного органа.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(лица,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Дементьева Сергея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