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912266-О/2026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Деменко Владимира Федоровича на нарушение его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В.Ф.Деменко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В.Ф.Деменко оспаривает конституционность пункта 1 статьи 131 «Государственная регистрация недвижимости», пункта 1 статьи 334 «Понятие залога», пункта 3 статьи 339 «Условия и форма договора залога», подпункта 1 пункта 1 статьи 3391 «Государственная регистрация и учет залога», пункта 1 статьи 341 «Возникновение залога», пункта 1 статьи 348 «Основания обращения взыскания на заложенное имущество» и статьи 350 «Реализация заложенного имущества при обращении на него взыскания в судебном порядке» ГК Российской Федерации, а также части первой статьи 56 «Обязанность доказывания» и части второй статьи 195 «Законность и обоснованность решения суда» ГПК Российской Федерации. 2 Из представленных материалов следует, что определением суда апелляционной инстанции отменено заочное решение суда общей юрисдикции и, среди прочего, на принадлежащее В.Ф.Деменко жилое помещение обращено взыскание как на предмет залога с определением способа его реализации путем продажи с публичных торгов. Суд апелляционной инстанции указал, что вступившим в законную силу решением суда договор купли-продажи спорного жилого помещения признан притворной сделкой, прикрывающей договор займа под его залог. В передаче кассационной жалобы В.Ф.Деменко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в частности ее статьям 15 (часть 1), 18, 19 (части 1 и 2), 35 (часть 1), 46 (часть 1) и 120 (часть 1). В.Ф.Деменко указывает, что принадлежащее ему жилое помещение было признано предметом залога на основании утверждения истцов, не подкрепленного доказательствами заключения договора залога и его государственной регистрации.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обоснование обращения, свидетельствуют, что нарушение конституционных прав заявитель связывает не с содержанием оспариваемых норм, которые сами по себе не могут расцениваться в качестве нарушающих его конституционные права, а с наличием оснований для вывода о возникновении залога спорного жилого помещения в деле с его участием.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относятся к компетенции 3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Деменко Владимира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