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272-П/2026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Балакина Дмитрия Николаевича на нарушение его конституционных прав пунктом 3 части четвертой и частью пятой статьи 413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Д.Н.Балакина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Гражданину Д.Н.Балакину отказано в удовлетворении жалобы на решение прокурора об отказе в удовлетворении ходатайства о возбуждении производства по уголовному делу ввиду вновь открывшихся обстоятельств, поскольку приведенные им доводы не содержали обстоятельств, предусмотренных статьей 413 «Основания возобновления производства по уголовному делу ввиду новых или вновь открывшихся обстоятельств» УПК Российской Федерации, а были направлены на переоценку доказательств. 2 В связи с этим заявитель просит признать пункт 3 части четвертой и часть пятую данной статьи противоречащими статьям 45 и 46 Конституции Российской Федерации в той мере, в какой они не позволяют суду признавать в качестве вновь открывшегося обстоятельства постановление об отказе в возбуждении уголовного дела в связи с истечением срока давности уголовного преследования.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Д.Н.Балакин уже оспаривал конституционность пункта 3 части четвертой и части пятой статьи 413 УПК Российской Федерации в том же аспекте в своей предшествующей жалобе, по которой Конституционным Судом Российской Федерации вынесено Определение от 29 января 2026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Балакина Дмитрия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