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Шераповой Дианы Николаевны на нарушение ее конституционных прав частью 2 статьи 2 и частью 1 статьи 2-1 Закона Республики Крым «Об особенностях регулирования имущественных и земельных отношений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Д.Н.Шераповой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Д.Н.Шерапова оспаривает конституционность части 2 статьи 2 и части 1 статьи 2-1 (в жалобе части статей ошибочно названы пунктами) Закона Республики Крым от 31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Шераповой Дианы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