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Ворониной Светланы Викторовны на нарушение ее конституционных прав пунктом 1 статьи 1731 Гражданского кодекса Российской Федерации, а также частью 17 статьи 17, статьей 19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С.В.Ворониной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С.В.Воронина оспаривает конституционность пункта 1 статьи 1731 «Недействительность сделки, совершенной без необходимого в силу закона согласия третьего лица, органа юридического лица или государственного органа либо органа местного самоуправления» ГК Российской Федерации; а также следующих норм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Федерации»: 2 части 17 статьи 17, устанавливающей, что правление садоводческого (огороднического) некоммерческого товарищества обязано обеспечить возможность ознакомления с проектами документов и иными материалами, планируемыми к рассмотрению на общем собрании членов товарищества, не менее чем за семь дней до даты проведения общего собрания членов товарищества, в том числе с проектом приходно-расходной сметы, в случае, если повестка общего собрания членов товарищества предусматривает вопрос об утверждении приходно-расходной сметы товарищества; в случае нарушения срока, предусмотренного данной частью, рассмотрение указанных проектов документов и иных материалов на общем собрании членов товарищества не допускается; статьи 19, определяющей полномочия председателя товарищества. Как следует из представленных материалов, решением арбитражного суда, оставленным без изменения постановлением суда апелляционной инстанции, С.В.Ворониной отказано в удовлетворении исковых требований к садоводческому некоммерческому товариществу и обществу с ограниченной ответственностью о признании недействительными заключенных соответчиками договоров об оказании юридических услуг по представлению интересов в суде и применении последствий их недействительности. Суды указали, что, вопреки позиции заявительницы, заключение хозяйственных договоров не относится к исключительной компетенции общего собрания членов товарищества. В передаче кассационной жалобы С.В.Ворониной на эти судебные акты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заявительницы, оспариваемые положения в их взаимосвязи противоречат Конституции Российской Федерации, ее статьям 1, 2, 15 и 46, поскольку они по смыслу, придаваемому им правоприменительной практикой, препятствуют осуществлению конституционных прав; содержат неопределенность, гарантируя реализацию общим собранием членов 3 товарищества как высшим органом юридического лица его права и обязанности контролировать расходы путем их утверждения в смете, при этом допуская заключение не обеспеченного такими расходами хозяйственного договора без получения согласия общего собрания членов товарищества.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Ворониной Светланы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