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Конашина Ивана Николаевича на нарушение его конституционных прав пунктом 2 части 1 и частью 2 статьи 287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И.Н.Конашина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общества с ограниченной ответственностью постановлением арбитражного суда кассационной инстанции отменены акты судов первой и апелляционной инстанций об отказе в привлечении гражданина И.Н.Конашина (бывшего руководителя общества) и иного лица к субсидиарной ответственности по обязательствам должника. Суд кассационной инстанции указал, что принятыми в ходе рассмотрения данного дела вступившими в законную силу судебными актами подтверждено заключение контролирующими должника лицами существенно убыточных сделок (на суммы, сопоставимые с размером требований независимых кредиторов должника) в пользу аффилированных с 2 должником и подконтрольных ответчикам лиц; кроме того, при новом рассмотрении требования о привлечении к субсидиарной ответственности не опровергнуто совершение ответчиками противоправных действий по выводу денежных средств на основании фиктивных сделок в пользу «фирм- однодневок», что повлекло причинение должнику ущерба, а также его привлечение к ответственности за налоговое правонарушение. Поскольку, по мнению суда кассационной инстанции, все фактические обстоятельства, подлежащие доказыванию при привлечении к субсидиарной ответственности, установлены судами, однако им дана неверная правовая квалификация, суд посчитал возможным принять новый судебный акт о наличии оснований для возложения данной ответственности, в части определения размера которой обособленный спор направлен на рассмотрение в арбитражный суд первой инстанции. Определением судьи Верховного Суда Российской Федерации, с которым согласился заместитель Председателя этого суда,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И.Н.Конашин просит признать противоречащими Конституции Российской Федерации, ее статьям 1, 2, 17, 18, 45 и 46, пункт 2 части 1 и часть 2 статьи 287 «Полномочия арбитражного суда кассационной инстанции» АПК Российской Федерации, поскольку данные нормы позволяют арбитражному суду кассационной инстанции произвольно осуществлять переоценку установленных по делу фактических обстоятельств и порождают противоречивую правоприменительную практику, влекущую нарушение принципов равенства, верховенства закона и правовой определенности, препятствуют реальному обеспечению судебной защиты прав граждан.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Конашина Ивана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