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Савчук Ирины Николаевны на нарушение ее конституционных прав статьей 431, пунктом 1 статьи 807, статьей 808, а также пунктами 1 и 3 статьи 812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И.Н.Савчук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И.Н.Савчук, с которой решением суда общей юрисдикции взысканы денежные средства в пользу гражданина Б., оспаривает конституционность следующих положений Гражданского кодекса Российской Федерации: статьи 431 о том, что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(часть первая); если правила, содержащиеся в части первой 2 данной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 (часть вторая); пункта 1 статьи 807, закрепляющего, что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статьи 808, предусматривающей, что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(пункт 1);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(пункт 2); пунктов 1 и 3 статьи 812, согласно которым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 По мнению заявительницы, оспариваемые законоположения не соответствуют статьям 15 (часть 1), 19 (часть 1) и 46 (часть 1) Конституции Российской Федерации в той мере, в какой они нарушают конституционный 3 принцип равенства всех перед законом и судом, а также право на судебную защиту, содержат неопределенность, в том числе позволяющую судам ошибочно квалифицировать отношения сторон как заемные, игнорируя представленные в дело доказательства.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Савчук Ирины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