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Суворовой Ольги Николаевны на нарушение ее конституционных прав статьей 71 и частью 3 статьи 83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О.Н.Суворовой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О.Н.Суворова оспаривает конституционность статьи 71 «Права и обязанности временно отсутствующих нанимателя жилого помещения по договору социального найма и членов его семьи» и части 3 статьи 83 «Расторжение и прекращение договора социального найма жилого помещения» Жилищного кодекса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О.Н.Суворовой – зарегистрированной и проживающей в спорном жилом помещении со своим сыном – в удовлетворении исковых требований к зарегистрированной, но не проживающей в данном помещении гражданке 2 М. о признании утратившей право пользования жилым помещением, снятии с регистрационного учета отказано. Суды указали на то, что поскольку проживание в спорной однокомнатной квартире двух разных семей невозможно, ответчик вынужденно в ней не проживал.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Конституции Российской Федерации, ее статьям 3, 19 и 40, поскольку они допускают формальное сохранение права пользования жилым помещением по договору социального найма на основании регистрации лица по адресу жилого помещения, в котором невозможно создать условия для проживания всех зарегистрированных в нем лиц, вне зависимости от действительного и постоянного проживания в нем зарегистрированного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Суворовой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