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Павла Алексеевича на нарушение его конституционных прав частью 6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П.А.Данилов оспаривает конституционность части 6 статьи 46 Жилищного кодекса Российской Федерации, устанавливающей, что 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того же Кодекса, в случае, если он не принимал участия в этом собрании или голосовал против принятия такого решения и если таким решением нарушены его права и законные интересы;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решении; суд с учетом всех обстоятельств дела вправе оставить в силе обжалуемое решение, 2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причинения убытков указанному собственнику. Как следует из представленных материалов, решением суда общей юрисдикции, оставленным без изменения определением суда апелляционной инстанции, П.А.Данилову отказано в удовлетворении исковых требований о признании ничтожным протокола общего собрания собственников помещений в многоквартирном доме.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часть 6 статьи 46 Жилищного кодекса Российской Федерации противоречит Конституции Российской Федерации, в частности ее статьям 15 и 46 (части 1 и 2), а также пункту 3 статьи 166 и пункту 1 статьи 181 ГК Российской Федерации, поскольку по смыслу, придаваемому ей правоприменительной практикой, она допускает применение шестимесячного срока исковой давности к обжалованию протокола общего собрания собственников помещений в многоквартирном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Павла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