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Струковой Ирины Владимировны на нарушение ее конституционных прав статьей 210, пунктами 1 и 2 статьи 1064 и статьей 1080 Гражданского кодекса Российской Федерации, частью 4 статьи 30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И.В.Струковой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И.В.Струкова оспаривает конституционность статьи 210 «Бремя содержания имущества», пунктов 1 и 2 статьи 1064 «Общие основания ответственности за причинение вреда», статьи 1080 «Ответственность за совместно причиненный вред» ГК Российской Федерации, а также части 4 статьи 30 «Права и обязанности собственника жилого помещения» Жилищного кодекса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исковые требования к И.В.Струковой и соответчикам – долевым 2 собственникам квартиры о взыскании в равных долях материального ущерба, причиненного вследствие залива нижерасположенной квартиры, расходов на производство досудебной экспертизы и на оплату услуг по составлению искового заявления частично удовлетворены.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15 (части 1 и 2), 18, 19 (часть 1), 23 (часть 1), 46 (часть 1), 54 (часть 2) и 55 (части 1 и 2) Конституции Российской Федерации, поскольку они по смыслу, придаваемому им правоприменительной практикой, допускают безвиновное возложение ответственности за действия одного из сособственников имущества на остальных сособственников.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Струковой Ирины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