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Захарова Алексея Александровича на нарушение его конституционных прав пунктом 1 статьи 130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А.А.Захарова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А.А.Захаров оспаривает конституционность пункта 1 статьи 130 «Недвижимые и движимые вещи» ГК Российской Федерации. Как следует из представленных материалов, решением суда первой инстанции, оставленным без изменения судами апелляционной и кассационной инстанций, объект незавершенного строительства, возведенный заявителем в период брака без регистрации прав на этот объект, признан совместно нажитым имуществом бывших супругов и разделен между ними. По мнению заявителя, оспариваемое законоположение противоречит статьям 8 (часть 2), 19 (части 1 и 2) и 35 Конституции Российской Федерации 2 в той мере, в какой оно в значении, придаваемом ему судебной практикой, позволяет судам произвольно определять правовой статус не оконченного строительством здания, которое возведено, но право собственности на которое еще не оформлено, и которое, по его мнению, является составной частью (неотделимым улучшением)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1 статьи 130 ГК Российской Федерации к недвижимым вещам (недвижимое имущество, недвижимость) относятся земельные участки, участки недр и все, что прочно связано с землей, т.е.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Захарова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