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Шклярова Юрия Дмитриевича на нарушение его конституционных прав положениями статьи 165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Ю.Д.Шклярова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Ю.Д.Шкляров, привлеченный к уголовной ответственности, просит признать не соответствующими статьям 1, 2, 15 (часть 4), 17 (часть 1), 18, 19, 46 (часть 1), 54 (часть 2) и 55 (часть 3) Конституции Российской Федерации положения статьи 165 «Причинение имущественного ущерба путем обмана или злоупотребления доверием» УК Российской Федерации. По мнению заявителя, оспариваемые положения предполагают возложение на лицо уголовной ответственности за преступление, способ совершения которого (злоупотребление доверием) четко в законе не определен, а его толкование, данное судами, является 2 противоречивым, что препятствует такому лицу предвидеть уголовно- правовые последствия своего деяния, приводит к произвольному применению уголовного закона, в частности по аналогии, формирует судебную практику, влекущую нарушение конституционных прав и свобод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любое преступление, а равно и наказание за его совершение должны быть четко определены в законе, причем так, чтобы исходя непосредственно из текста нормы – в случае необходимости с помощью толкования, данного ей судами, – каждый мог предвидеть уголовно-правовые последствия своих действий (бездействия) (постановления от 27 мая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Шклярова Юрия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