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Дмитрия Алексеевича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Д.А.Козлова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Д.А.Козлов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которому контракт подлежит расторжению, а сотрудник органов внутренних дел увольнению со службы в органах внутренних дел в связи с совершением проступка, порочащего честь сотрудника органов внутренних дел. 2 По мнению заявителя, оспариваемое законоположение противоречит статьям 19 (части 1 и 2), 46 (части 1 и 2) и 52–54 Конституции Российской Федерации в той мере, в какой в результате его произвольного применения гражданину, являвшемуся сотрудником органов внутренних дел и уволенному по основанию, предусмотренному данной нормой, в связи с совершением деяния, которое послужило основанием для возбуждения в отношении него уголовного дела, после прекращения уголовного преследования и признания его права на реабилитацию отказывают в восстановлении на службе без достаточных доказательств того, что поводом к увольнению явилось иное допущенное таким гражданином поведение, нежели действия (бездействие), приведшие к его уголовному преследованию.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Дмитрия Алексеевича,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