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 Строй» на нарушение его конституционных прав частью 10 статьи 52 и частью 16 статьи 48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оспаривает конституционность части 10 статьи 52 Градостроительного кодекса Российской Федерации, согласно которой предъявление требований о получении в целях реализации проекта по строительству объекта капитального строительства документов, сведений, материалов, согласований, не включенных в реестр документов, не допускается, и части 16 статьи 48 того же Кодекса, в соответствии с которой не допускается требовать согласование проектной документации, заключение на проектную документацию и иные документы, не предусмотренные данным Кодексом. Как следует из представленных материалов, апелляционным определением апелляционного суда общей юрисдикции, с которым 2 согласились суды вышестоящих инстанций, отказано в удовлетворении требований заявителя о признании недействующими части 3 статьи 5 Закона Краснодарского края от 27 апреля 2007 года № 1229-КЗ «Об обеспечении беспрепятственного доступа маломобильных граждан к объектам социальной, транспортной и инженерной инфраструктур, информации и связи в Краснодарском крае» и постановления главы администрации Краснодарского края от 8 октября 2007 года № 950 «О согласовании заданий на проектирование объектов социальной инфраструктуры при их строительстве, реконструкции и капитальном ремонте с управлениями социальной защиты населения в муниципальных образованиях Краснодарского края в части обеспечения беспрепятственного доступа к ним маломобильных граждан». При этом суды указали, что федеральное законодательство содержит требования по обеспечению доступа маломобильных групп населения к объекту капитального строительства и принятие нового федерального законодательства, направленного на сокращение сроков строительства объектов капитального строительства, не исключает обязанность предоставления застройщиком (техническим заказчиком) для проведения экспертизы проектной документации в качестве одного из документов задания на проектирование, согласованного с территориальными органами социальной защиты населения. По мнению заявителя, оспариваемые положения не соответствуют статьям 1, 5 (часть 3), 6 (часть 2), 11 (часть 3), 15 (часть 2), 17 (часть 3), 19 (части 1 и 2), 45, 46 (части 1 и 2) и 80 (часть 3) Конституции Российской Федерации в той мере, в какой они позволяют субъектам Российской Федерации и органам местного самоуправления принимать нормативные правовые акты по вопросам градостроительной деятельности, противоречащие Градостроительному кодексу Российской Федерации, в том числе за пределами их полномочий, закрепленных статьями 7 и 8 данного Кодекса, и вводить не предусмотренные федеральным законодательством и вопреки поручению Президента Российской Федерации дополнительные согласования и тем самым вмешиваться в компетенцию технического 3 заказчика, изыскательских и проектных организаций по вопросам выполнения инженерных изысканий, проектных работ, составлению заданий на инженерные изыскания и проектные работы, а также вмешиваться в вопросы, находящиеся в исключительной компетенции организаций, наделенных правом проводить экспертизу результатов инженерных изысканий и проектной документации.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 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