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Бутрякова Дмитрия Анатольевича на нарушение его конституционных прав пунктами 1 и 2 статьи 152 Гражданского кодекса Российской Федерации, а также статьей 44 Закона Российской Федерации «О средствах массовой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Д.А.Бутрякова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Д.А.Бутряков оспаривает конституционность пунктов 1 и 2 статьи 152 «Защита чести, достоинства и деловой репутации» ГК Российской Федерации, а также статьи 44 «Порядок опровержения» Закона Российской Федерации от 27 декабря 1991 года № 2124-I «О средствах массовой информации». Решением суда от 7 апреля 2021 года, оставленным без изменения апелляционным определением от 11 августа 2021 года и определением кассационного суда общей юрисдикции от 25 января 2022 года, отказано в удовлетворении иска Д.А.Бутрякова к органу местного самоуправления, общественно-политической газете и автору газетной статьи об опровержении 2 содержащихся в названной статье сведений, связанных с осуществлением истцом деятельности в качестве депутата представительного органа муниципального образования, а также о взыскании компенсации морального вреда. Суды отметили, что оспариваемые сведения не умаляют чести и достоинства Д.А.Бутрякова, а допущенная в статье неточность (неправильное указание общего числа заседаний органа местного самоуправления и числа тех из них, на которых присутствовал истец) была устранена ответчиком путем публикации достоверных сведений в новом газетном номере; сама же по себе критика профессиональной деятельности Д.А.Бутрякова в качестве муниципального депутата является допустимой, так как пределы допустимой критики в отношении политиков, общественных деятелей шире, чем в отношении частных лиц. Определением судьи Верховного Суда Российской Федерации от 31 мая 2022 года отказано в передаче кассационной жалобы заявителю для рассмотрения в судебном заседании суда кассационной инстанции. По мнению Д.А.Бутрякова, оспариваемые нормы противоречат статьям 2, 17 (часть 2), 18, 21 (часть 1), 23 (часть 1), 45 и 46 (часть 1) Конституции Российской Федерации, поскольку в силу своей неопределенности они позволяют судам признавать не соответствующие действительности сведения, размещенные в средстве массовой информации, опиской или неточностью и отказывать гражданину на этом основании в опровержении указанных сведений, а также допускают произвольное истолкование данных норм в контексте правовых позиций Европейского Суда по правам человека о том, что лицо, наделенное публичными полномочиями, может подвергаться критике в большей степени, чем обычный гражданин.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152 ГК Российской Федерации и статьи 44 Закона Российской Федерации «О средствах массовой информации», регламентирующие порядок опровержения порочащих честь, достоинство и 3 деловую репутацию гражданина сведений, в том числе распространенных в средствах массовой информации, обеспечивают реализацию конституционного права на защиту чести и доброго имени (статья 23, часть 1, Конституции Российской Федерации) и имеют целью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соблюдения. С учетом правовой позиции Конституционного Суда Российской Федерации, согласно которой для решения вопроса о правомерности опубликования сведений о частной жизни лица в средствах массовой информации без его на то согласия наличие общественного интереса к таким сведениям имеет принципиальное значение (Постановление от 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Бутрякова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