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Бондаренко Вячеслава Викторовича на нарушение его конституционных прав пунктом 2 статьи 46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В.В.Бондаренко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В.В.Бондаренко оспаривает конституционность пункта 2 статьи 46 Федерального закона от 16 июля 1998 года № 102-ФЗ «Об ипотеке (залоге недвижимости)», предусматривающего, что в случае обращения взыскания на заложенное имущество по требованиям, обеспеченным последующей ипотекой, одновременно может быть потребовано досрочное исполнение обеспеченного ипотекой обязательства и обращено взыскание на это имущество и по требованиям, обеспеченным предшествующей ипотекой, срок предъявления которых к взысканию еще не наступил; если залогодержатель по предшествующему договору об ипотеке не воспользовался этим правом, имущество, на которое обращено взыскание по требованиям, 2 обеспеченным последующей ипотекой, переходит к его приобретателю обремененное предшествующей ипотекой. Из представленных материалов следует, что в деле с участием В.В.Бондаренко отказано в удовлетворении его иска о признании договора купли-продажи жилого помещения, заключенного им как выигравшим торги лицом, недействительным (в качестве сделки, совершенной под влиянием существенного заблуждения) и о применении последствий недействительности сделки. Суд апелляционной инстанции в определении, принятом после направления дела на новое рассмотрение в этот суд кассационным судом общей юрисдикции, поддержал выводы суда первой инстанции, указавшего, что В.В.Бондаренко согласился с условиями договора, включая наличие обременения, сведения о котором общедоступны, и принял соответствующие риски. По мнению заявителя, пункт 2 статьи 46 Федерального закона «Об ипотеке (залоге недвижимости)» противоречит Конституции Российской Федерации, поскольку он допускает сохранение предшествующей ипотеки при переходе права собственности в результате реализации заложенного имущества, на которое обращено взыскание по обеспеченным последующей ипотекой требованиям, несмотря на то что в извещении о проведении торгов и в договоре купли-продажи на сохранение залога указано не было. В.В.Бондаренко утверждает, что законодательство не требует от участников гражданского оборота руководствоваться сведениями Единого государственного реестра недвижимости.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Бондаренко Вячеслава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