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Хамарханова Арсалана Викторовича на нарушение его конституционных прав частью 1 статьи 39, частью 7 статьи 155, частью 1 статьи 158 и частью 2 статьи 162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А.В.Хамарханова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А.В.Хамарханов оспаривает конституционность части 1 статьи 39 «Содержание общего имущества в многоквартирном доме», части 7 статьи 155 «Внесение платы за жилое помещение и коммунальные услуги», части 1 статьи 158 «Расходы собственников помещений в многоквартирном доме» и части 2 статьи 162 «Договор управления многоквартирным домом» Жилищного кодекса Российской Федерации. Из представленных материалов следует, что решением суда общей юрисдикции – с учетом его изменения судом апелляционной инстанции – с заявителя в пользу организации, осуществляющей управление 2 многоквартирным домом, в котором расположены принадлежащие А.В.Хамарханову нежилые помещения, взыскана задолженность по плате за их содержание (в том числе плата за текущий ремонт общего имущества в многоквартирном доме). Определением кассационного суда общей юрисдикции решение суда первой инстанции (в неизмененной части) и апелляционное определение оставлены без изменения. В передаче кассационной жалобы заявителя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 По мнению А.В.Хамарханова, оспариваемые положения не соответствуют Конституции Российской Федерации, ее статье 35 (части 1–3), поскольку по смыслу, придаваемому им правоприменительной практикой, позволяют взыскивать с собственника помещений в многоквартирном доме плату за их содержание (включая плату за текущий ремонт общего имущества в многоквартирном доме) в пользу управляющей организации, решение об избрании которой признано недействительным (ничтожным).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39, часть 7 статьи 155 и часть 1 статьи 158 Жилищного кодекса Российской Федерации, нацеленные на поддержание многоквартирного дома в состоянии, соответствующем санитарным и техническим требованиям, и отвечающие общим интересам собственников помещений (определения Конституционного Суда Российской Федерации от 22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Хамарханова Арсалана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