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Зиля Дениса Станиславовича на нарушение его конституционных прав положениями статей 179 и 1951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Д.С.Зиля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Д.С.Зиль оспаривает конституционность следующих норм Трудового кодекса Российской Федерации: части первой статьи 179, закрепляющей, что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квалификацией; статьи 1951, а фактически – ее части первой, согласно которой квалификация работника – уровень знаний, умений, профессиональных навыков и опыта работы работника. 2 По мнению заявителя, оспариваемые положения не соответствуют статьям 7, 17 (часть 3), 37, 46 и 55 (часть 2) Конституции Российской Федерации в той мере, в какой они в системе действующего правового регулирования по смыслу, придаваемому правоприменительной практикой, предоставляют работодателю возможность произвольно оценивать квалификацию работника для определения преимущественного права оставления на работе при сокращении численности работников, игнорируя в том числе определенные им самим критерии, а также подменять установленный законом критерий «опыт работы» стажем работы у данного работодателя, что приводит к нарушению прав работников. Оспариваемые нормы применены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Зиля Дениса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