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Сущикова Романа Анатольевича на нарушение его конституционных прав пунктом 41 статьи 9 Федерального закона «О государственной регистрации юридических лиц и индивидуальных предпринимателей» и Федеральным законом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Р.А.Сущикова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Р.А.Сущиков оспаривает конституционность пункта 41 статьи 9 «Порядок представления документов при государственной регистрации» Федерального закона от 8 августа 2001 года № 129-ФЗ «О государственной регистрации юридических лиц и индивидуальных предпринимателей», а также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2 Как указывает Р.А.Сущиков, оспариваемые законоположения не соответствуют статьям 19 (часть 1), 30 (часть 1) и 36 (части 1 и 2) Конституции Российской Федерации в той мере, в какой их применение в конкретном деле повлекло взыскание с заявителя платы за пользование общим имуществом и объектами инфраструктуры незаконно созданного, по его мнению, товарищества собственников недвижимости, действующего на основании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в то время как заявитель не является членом данного товарищества, а принадлежащий заявителю земельный участок не относится, как он полагает, к территории данного товарищества.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Сущикова Романа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