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Седнева Владимира Анатольевича на нарушение его конституционных прав статьей 134 и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В.А.Седнева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В.А.Седнев оспаривает конституционность следующих положений Трудового кодекса Российской Федерации: статьи 134,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при этом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2 – в порядке, установленном коллективным договором, соглашениями, локальными нормативными актами; части второй статьи 135, в соответствии с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По мнению заявителя, оспариваемые нормы, примененные в его деле судами общей юрисдикции, противоречат статьям 12, 17, 18, 19 (части 1 и 2), 37 (часть 3), 55 (часть 3), 75 (часть 5) и 751 Конституции Российской Федерации, поскольку позволяют работодателю произвольно устанавливать правила определения видов и порядка премирования без гарантий защиты работника – как слабой стороны трудовых отношений, а также отказывать в индексации премий (надбавок).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Седнева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