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Калошина Евгения Анатольевича на нарушение его конституционных прав частью 1 статьи 319, частью 1 статьи 328 и частью 3 статьи 329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Е.А.Калошина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Е.А.Калошин оспаривает конституционность следующих положений Кодекса административного судопроизводства Российской Федерации: части 1 статьи 319, устанавливающей, что при подаче кассационных жалобы, представления на определение, которым не оканчивается производство по административному делу, в суд кассационной инстанции направляется вместе с описью всех имеющихся в деле документов 2 сформированный по соответствующим жалобе, представлению прокурора материал, состоящий из оригинала жалобы или представления прокурора и обжалуемого определения суда, а также из заверенных судом необходимых для их рассмотрения копий документов; части 1 статьи 328, в силу которой 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права, которые повлияли или могут повлиять на исход административного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интересов; части 3 статьи 329, предусматривающей, что суд кассационной инстанции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какой судебный акт должен быть принят при новом рассмотрении административного дела. Как следует из представленных материалов, определением судьи, с которым согласились вышестоящие суды, Е.А.Калошину было возвращено заявление о пересмотре судебного акта по новым обстоятельствам на том основании, что Определение Конституционного Суда Российской Федерации от 22 декабря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Калошина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