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Халина Павла Владимировича на нарушение его конституционных прав частью седьмой статьи 49, статьями 50 и 52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П.В.Халина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П.В.Халин – которому постановлением судьи Верховного Суда Российской Федерации от 12 июля 2022 года отказано в передаче для рассмотрения в судебном заседании суда кассационной инстанции жалобы о пересмотре вынесенных в его отношении судебных решений с констатацией отсутствия нарушений его права на защиту в ходе судебного разбирательства в суде первой инстанции – просит признать не соответствующими статьям 19 (часть 1), 46 (части 1 и 2) и 47 (часть 1) Конституции Российской Федерации часть седьмую статьи 49 «Защитник», статьи 50 «Приглашение, назначение и замена защитника, оплата его труда» и 52 «Отказ от защитника» УПК Российской Федерации. 2 По утверждению заявителя, данные нормы в силу своей неопределенности порождают возможность их произвольного применения посредством принудительного назначения в судебном заседании подсудимому защитника наряду с уже имевшимся защитником по соглашению, притом что последний, со слов П.В.Халина, впоследствии в одностороннем порядке отказался от осуществления его судебной защиты.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Халина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