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Кузьминой Виктории Сергеевны на нарушение ее конституционных прав пунктом 1 статьи 152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В.С.Кузьминой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В.С.Кузьмина оспаривает конституционность пункта 1 статьи 152 «Защита чести, достоинства и деловой репутации» ГК Российской Федерации. Как следует из представленных материалов, решением суда общей юрисдикции, с которым согласились суды вышестоящих инстанций, с заявительницы взыскана компенсация морального вреда, причиненного ее неоднократными обращениями в правоохранительные органы с заявлениями, содержащими не соответствующие действительности сведения, порочащие честь и достоинство истцов. 2 По мнению В.С.Кузьминой, оспариваемая норма противоречит статье 33 Конституции Российской Федерации в той мере, в какой по смыслу, придаваемому ей в системе действующего правового регулирования правоприменительной практикой, она препятствует реализации права граждан на обращение в государственные органы.</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152 ГК Российской Федерации, включая положения ее пункта 1 о праве гражданина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направлена на реализацию конституционного права на защиту чести и доброго имени (статья 23, часть 1, Конституции Российской Федерации), находится в общей системе конституционно-правового регулирования, а потому, как неоднократно подчеркивал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Кузьминой Виктории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