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Бутусова Евгения Николаевича на нарушение его конституционных прав частью второй статьи 165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Е.Н.Бутусова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гарнизонного военного суда, с которыми согласились вышестоящие суды, включая Верховный Суд Российской Федерации, удовлетворены ходатайства следователя военного следственного отдела Следственного комитета Российской Федерации о разрешении получения информации о соединениях между абонентами и абонентскими устройствами и о наложении ареста на имущество. В этой связи Е.Н.Бутусов просит признать часть вторую статьи 165 «Судебный порядок получения разрешения на производство следственного действия» УПК Российской Федерации не соответствующей статьям 35 2 (части 1–3), 46 (часть 1), 47 (часть 1) и 49 (часть 1) Конституции Российской Федерации в той мере, в какой она по смыслу, придаваемому ей правоприменительной практикой, в силу отсутствия четкого разграничения полномочий между районными и военными судами позволяет следователю по своему усмотрению произвольно обращаться в любой суд с ходатайством о производстве следственного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закрепляет основы единого правового статуса судей в Российской Федерации, в том числе принцип независимости судей и подчинения их только Конституции Российской Федерации и федеральному закону (статья 120, часть 1) независимо от того, в каком суде – военном или ином суде общей юрисдикции – они исполняют свои должностные обязанности.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Бутусова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