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2244-О/2024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Киселева Сергея Григорьевича на нарушение его конституционных прав пунктом 1 части второй статьи 3907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С.Г.Киселева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С.Г.Киселев, которому определением судьи Верховного Суда Российской Федерации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Федерации, с чем согласился заместитель Председателя этого суда, оспаривает конституционность пункта 1 части второй статьи 3907 «Рассмотрение кассационных жалобы, представления» ГПК Российской Федерации. По мнению заявителя, оспариваемая норма, действующая в системной связи с иными положениями статьи 3907 ГПК Российской Федерации и 2 параграфа 2 главы 41 этого Кодекса, не соответствует Конституции Российской Федерации, в том числе ее статьям 2, 15 (часть 1), 18, 46 (часть 1), 55 и 56 (часть 3), поскольку она допускает возможность немотивированного отказа в передаче кассационной жалобы для рассмотрения в судебном заседании Судебной коллегии по гражданским делам Верховного Суда Российской Федерации, а также не позволяет обжаловать определение судьи Верховного Суда Российской Федерации о таком отказе и тем самым препятствует реализации права С.Г.Киселева на судебную защиту.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Киселева Сергея Григорьевича,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