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Хитрова Максима Павловича на нарушение его конституционных прав частью 2 статьи 318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М.П.Хитрова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М.П.Хитров оспаривает конституционность части 2 статьи 318 КАС Российской Федерации, согласно которой судебные акты могут быть обжалованы в суд кассационной инстанции в течение шести месяцев со дня их вступления в законную силу при условии, что лицами, указанными в части 1 этой статьи, были исчерпаны иные установленные данным Кодексом способы обжалования судебного акта до дня вступления его в законную силу. Как следует из представленных материалов, определением судьи кассационного суда общей юрисдикции возвращена без рассмотрения по 2 существу кассационная жалоба М.П.Хитрова на решение межрайонного суда по административному делу о присуждении компенсации за нарушение условий содержания под стражей в связи с тем, что это решение не обжаловалось в апелляционном порядке. Заявитель полагает, что оспариваемое законоположение нарушает его право на судебную защиту, а потому не соответствует статьям 46, 50 и 52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Хитрова Максима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