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Воробьева Руслана Николаевича на нарушение его конституционных прав статьями 12, 15 и 1064 Гражданского кодекса Российской Федерации, пунктом 4 статьи 203, пунктом 4 статьи 204, статьями 67, 99, 129, 131 и 134 Федерального закона «О несостоятельности (банкротстве)», а также актами высших судов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Р.Н.Воробьева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хозяйственного общества и оставленным без изменения постановлениями судов апелляционной и кассационной инстанций, было отказано в удовлетворении заявления гражданина Р.Н.Воробьева о взыскании с арбитражного управляющего должника убытков за ненадлежащее исполнение тем своих обязанностей. При этом суд исходил из недоказанности совокупности условий для взыскания убытков с арбитражного управляющего. Кроме того, суд пришел к выводу, что утрата имущества должника явилась следствием недобросовестного поведения самого Р.Н.Воробьева. 2 Р.Н.Воробьев оспаривает конституционность статей 12, 15 и 1064 ГК Российской Федерации, пункта 4 статьи 203, пункта 4 статьи 204, статей 67, 99, 129, 131 и 134 Федерального закона от 26 октября 2002 года № 127-ФЗ «О несостоятельности (банкротстве)», пункта 12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Федерации», пункта 48 постановления Пленума Высшего Арбитражного Суда Российской Федерации от 15 декабря 2004 года № 29 «О некоторых вопросах практики применения Федерального закона «О несостоятельности (банкротстве)» и пункта 11 Обзора практики рассмотрения арбитражными судами споров, связанных с отстранением конкурсных управляющих, доведенного до сведения правоприменителей информационным письмом Президиума Высшего Арбитражного Суда Российской Федерации от 22 мая 2012 года № 150. По мнению заявителя, данные положения противоречат статьям 2, 6 (часть 2), 19 (часть 1), 35, 45, 46, 49, 54 и 55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обеспечивают право должника и кредиторов на возмещение убытков, причиненных конкурсным управляющим при непринятии мер для сохранения имущества должника. Кроме того, Р.Н.Воробьев просит отменить судебные решения, вынесенные по делу с его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Воробьева Руслана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