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«Коммерческие маршрутные перевозки» на нарушение его конституционных прав пунктом 5 статьи 10 и статьей 15 Гражданского кодекса Российской Федерации, а также статьей 65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«Коммерческие маршрутные перевозки»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«Коммерческие маршрутные перевозки» (далее также – общество) оспаривает конституционность пункта 5 статьи 10 ГК Российской Федерации, согласно которому добросовестность участников гражданских правоотношений и разумность их действий предполагаются, и статьи 15 того же Кодекса, определяющей понятие убытков и предусматривающей принцип их полного возмещения, а также статьи 65 «Обязанность доказывания» АПК Российской Федерации. 2 Как следует из представленных материалов, решением арбитражного суда, с которым согласились вышестоящие суды, отказано в удовлетворении иска общества к Российской Федерации о взыскании убытков в виде упущенной выгоды, причиненных незаконным включением в реестр недобросовестных поставщиков, повлекшим утрату права на заключение муниципального контракта. По мнению заявителя, оспариваемые положения не соответствуют статьям 46 (часть 1), 53 и 55 (часть 3) Конституции Российской Федерации, поскольку в истолковании, приданном им правоприменительной практикой, по спорам о взыскании упущенной выгоды, возникшей в результате незаконного включения сведений об истце в реестр недобросовестных поставщиков и последующего отказа от заключения с ним муниципального контракта, позволяют возлагать на такого истца обязанность доказывания своей будущей добросовестности при заключении и исполнении контракта в случае, если бы заказчик не отказался от его заключения.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10 ГК Российской Федерации, устанавливающий презумпцию добросовестности участников гражданских правоотношений и конкретизирующий тем самым основанный на признании неотчуждаемых прав человека и гражданина (статьи 17 и 18 Конституции Российской Федерации) конституционно-правовой статус личности в сфере гражданских правоотношений, сам по себе не может рассматриваться как нарушающий какие-либо конституционные права заявителя. Статья 15 ГК Российской Федерации, действующая с учетом правовой позиции Конституционного Суда Российской Федерации о том, что обязанность возместить причиненный вред – мера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3 этим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«Коммерческие маршрутные перевозки»,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