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жилищно- строительного кооператива «Звенигород» на нарушение его конституционных прав частью 41 статьи 36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жилищно- строительного кооператива «Звенигород»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«Звенигород» (далее также – кооператив) оспаривает конституционность части 41 статьи 36 Жилищного кодекса Российской Федерации, предусматривающей, что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требованиям, указанным в части 3 статьи 15 того же Кодекса, допускается без решения общего собрания собственников помещений в многоквартирном доме только в случае, если такое приспособление осуществляется без привлечения денежных средств указанных собственников. 2 Как следует из представленных материалов, кооператив, осуществляющий управление многоквартирным домом, обратился в суд с требованием об установлении запрета на выполнение в этом доме работ по установке подъемной платформы для инвалидов. Решением арбитражного суда первой инстанции, оставленным без изменения судами апелляционной и кассационной инстанций, в удовлетворении иска отказано. Определением судьи Верховного Суда Российской Федерации кооперативу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оспариваемая норма противоречит статье 35 Конституции Российской Федерации, поскольку она позволяет против воли собственников помещений в многоквартирном доме возложить на них бремя содержания нового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жилищно- строительного кооператива «Звенигород»,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